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jc w:val="center"/>
      </w:pPr>
      <w:r>
        <w:rPr>
          <w:rFonts w:ascii="Liberation Sans" w:hAnsi="Liberation Sans"/>
          <w:b/>
          <w:color w:val="B84F32"/>
          <w:sz w:val="20"/>
        </w:rPr>
        <w:t>DOSSIER DE SUIVI APRÈS AUDIENCE</w:t>
      </w:r>
    </w:p>
    <w:p>
      <w:pPr>
        <w:spacing w:before="240"/>
        <w:jc w:val="center"/>
      </w:pPr>
      <w:r>
        <w:rPr>
          <w:rFonts w:ascii="Liberation Sans" w:hAnsi="Liberation Sans"/>
          <w:b/>
          <w:color w:val="16342D"/>
          <w:sz w:val="28"/>
        </w:rPr>
        <w:t>LYCÉE BLAISE-CENDRARS — SEVRAN</w:t>
      </w:r>
    </w:p>
    <w:p>
      <w:pPr>
        <w:spacing w:before="440"/>
        <w:jc w:val="center"/>
      </w:pPr>
      <w:r>
        <w:rPr>
          <w:rFonts w:ascii="Liberation Sans" w:hAnsi="Liberation Sans"/>
          <w:b/>
          <w:color w:val="16342D"/>
          <w:sz w:val="58"/>
        </w:rPr>
        <w:t>DSDEN 93 / RECTORAT DE CRÉTEIL</w:t>
      </w:r>
    </w:p>
    <w:p>
      <w:pPr>
        <w:spacing w:before="160"/>
        <w:jc w:val="center"/>
      </w:pPr>
      <w:r>
        <w:rPr>
          <w:rFonts w:ascii="Liberation Sans" w:hAnsi="Liberation Sans"/>
          <w:color w:val="53685C"/>
          <w:sz w:val="24"/>
        </w:rPr>
        <w:t>Moyens humains, santé scolaire, effectifs, continuité pédagogique, orientation et dialogue</w:t>
      </w:r>
    </w:p>
    <w:tbl>
      <w:tblPr>
        <w:tblW w:type="auto" w:w="0"/>
        <w:jc w:val="center"/>
        <w:tblLayout w:type="fixed"/>
        <w:tblLook w:firstColumn="1" w:firstRow="1" w:lastColumn="0" w:lastRow="0" w:noHBand="0" w:noVBand="1" w:val="04A0"/>
      </w:tblPr>
      <w:tblGrid>
        <w:gridCol w:w="8787"/>
      </w:tblGrid>
      <w:tr>
        <w:trPr>
          <w:cantSplit/>
        </w:trPr>
        <w:tc>
          <w:tcPr>
            <w:tcW w:type="dxa" w:w="10312"/>
            <w:shd w:fill="F4F1E8"/>
            <w:tcMar>
              <w:top w:w="180" w:type="dxa"/>
              <w:start w:w="220" w:type="dxa"/>
              <w:bottom w:w="180" w:type="dxa"/>
              <w:end w:w="220" w:type="dxa"/>
            </w:tcMar>
            <w:vAlign w:val="center"/>
          </w:tcPr>
          <w:p>
            <w:pPr>
              <w:jc w:val="center"/>
            </w:pPr>
            <w:r>
              <w:rPr>
                <w:rFonts w:ascii="Liberation Sans" w:hAnsi="Liberation Sans"/>
                <w:b/>
                <w:color w:val="16342D"/>
                <w:sz w:val="20"/>
              </w:rPr>
              <w:t>Audience tenue le 8 octobre 2026 à 13 h 30 · compte rendu officiel demandé</w:t>
            </w:r>
          </w:p>
        </w:tc>
      </w:tr>
    </w:tbl>
    <w:p>
      <w:pPr>
        <w:spacing w:before="600"/>
        <w:jc w:val="center"/>
      </w:pPr>
      <w:r>
        <w:rPr>
          <w:b/>
          <w:color w:val="B84F32"/>
          <w:sz w:val="20"/>
        </w:rPr>
        <w:t>Mise à jour après l’Assemblée générale des élèves du 8 octobre 2026</w:t>
      </w:r>
    </w:p>
    <w:p>
      <w:pPr>
        <w:jc w:val="center"/>
      </w:pPr>
      <w:r>
        <w:rPr>
          <w:color w:val="53685C"/>
          <w:sz w:val="18"/>
        </w:rPr>
        <w:t>Version du 9 octobre 2026 · Les versions du 7 octobre sont conservées en archive</w:t>
      </w:r>
    </w:p>
    <w:p>
      <w:r>
        <w:br w:type="page"/>
      </w:r>
    </w:p>
    <w:p>
      <w:pPr>
        <w:pStyle w:val="Heading1"/>
      </w:pPr>
      <w:r>
        <w:t>1. Méthode de fiabilité et statut des informations</w:t>
      </w:r>
    </w:p>
    <w:p>
      <w:r>
        <w:t>Cette mise à jour n’assimile pas une remontée d’élève à un fait établi. Chaque élément doit être lu selon son niveau de vérification et l’autorité compétente.</w:t>
      </w:r>
    </w:p>
    <w:tbl>
      <w:tblPr>
        <w:tblStyle w:val="TableGrid"/>
        <w:tblW w:type="auto" w:w="0"/>
        <w:jc w:val="center"/>
        <w:tblLook w:firstColumn="1" w:firstRow="1" w:lastColumn="0" w:lastRow="0" w:noHBand="0" w:noVBand="1" w:val="04A0"/>
      </w:tblPr>
      <w:tblGrid>
        <w:gridCol w:w="5156"/>
        <w:gridCol w:w="5156"/>
      </w:tblGrid>
      <w:tr>
        <w:trPr>
          <w:cantSplit/>
        </w:trPr>
        <w:tc>
          <w:tcPr>
            <w:tcW w:type="dxa" w:w="5156"/>
            <w:shd w:fill="16342D"/>
          </w:tcPr>
          <w:p>
            <w:r>
              <w:rPr>
                <w:color w:val="FFFFFF"/>
              </w:rPr>
              <w:t>Niveau</w:t>
            </w:r>
          </w:p>
        </w:tc>
        <w:tc>
          <w:tcPr>
            <w:tcW w:type="dxa" w:w="5156"/>
            <w:shd w:fill="16342D"/>
          </w:tcPr>
          <w:p>
            <w:r>
              <w:rPr>
                <w:color w:val="FFFFFF"/>
              </w:rPr>
              <w:t>Signification</w:t>
            </w:r>
          </w:p>
        </w:tc>
      </w:tr>
      <w:tr>
        <w:trPr>
          <w:cantSplit/>
        </w:trPr>
        <w:tc>
          <w:tcPr>
            <w:tcW w:type="dxa" w:w="5156"/>
            <w:tcMar>
              <w:top w:w="80" w:type="dxa"/>
              <w:start w:w="90" w:type="dxa"/>
              <w:bottom w:w="80" w:type="dxa"/>
              <w:end w:w="90" w:type="dxa"/>
            </w:tcMar>
          </w:tcPr>
          <w:p>
            <w:r>
              <w:t>Confirmé officiellement</w:t>
            </w:r>
          </w:p>
        </w:tc>
        <w:tc>
          <w:tcPr>
            <w:tcW w:type="dxa" w:w="5156"/>
            <w:tcMar>
              <w:top w:w="80" w:type="dxa"/>
              <w:start w:w="90" w:type="dxa"/>
              <w:bottom w:w="80" w:type="dxa"/>
              <w:end w:w="90" w:type="dxa"/>
            </w:tcMar>
          </w:tcPr>
          <w:p>
            <w:r>
              <w:t>Courriel, réponse écrite ou document public émanant de l’autorité compétente.</w:t>
            </w:r>
          </w:p>
        </w:tc>
      </w:tr>
      <w:tr>
        <w:trPr>
          <w:cantSplit/>
        </w:trPr>
        <w:tc>
          <w:tcPr>
            <w:tcW w:type="dxa" w:w="5156"/>
            <w:tcMar>
              <w:top w:w="80" w:type="dxa"/>
              <w:start w:w="90" w:type="dxa"/>
              <w:bottom w:w="80" w:type="dxa"/>
              <w:end w:w="90" w:type="dxa"/>
            </w:tcMar>
          </w:tcPr>
          <w:p>
            <w:r>
              <w:t>Documenté par une source identifiable</w:t>
            </w:r>
          </w:p>
        </w:tc>
        <w:tc>
          <w:tcPr>
            <w:tcW w:type="dxa" w:w="5156"/>
            <w:tcMar>
              <w:top w:w="80" w:type="dxa"/>
              <w:start w:w="90" w:type="dxa"/>
              <w:bottom w:w="80" w:type="dxa"/>
              <w:end w:w="90" w:type="dxa"/>
            </w:tcMar>
          </w:tcPr>
          <w:p>
            <w:r>
              <w:t>Document public, source syndicale ou pièce déjà citée ; la nature de la source est précisée.</w:t>
            </w:r>
          </w:p>
        </w:tc>
      </w:tr>
      <w:tr>
        <w:trPr>
          <w:cantSplit/>
        </w:trPr>
        <w:tc>
          <w:tcPr>
            <w:tcW w:type="dxa" w:w="5156"/>
            <w:tcMar>
              <w:top w:w="80" w:type="dxa"/>
              <w:start w:w="90" w:type="dxa"/>
              <w:bottom w:w="80" w:type="dxa"/>
              <w:end w:w="90" w:type="dxa"/>
            </w:tcMar>
          </w:tcPr>
          <w:p>
            <w:r>
              <w:t>Remontée interne</w:t>
            </w:r>
          </w:p>
        </w:tc>
        <w:tc>
          <w:tcPr>
            <w:tcW w:type="dxa" w:w="5156"/>
            <w:tcMar>
              <w:top w:w="80" w:type="dxa"/>
              <w:start w:w="90" w:type="dxa"/>
              <w:bottom w:w="80" w:type="dxa"/>
              <w:end w:w="90" w:type="dxa"/>
            </w:tcMar>
          </w:tcPr>
          <w:p>
            <w:r>
              <w:t>Constat ou difficulté rapporté par des élèves, enseignants ou personnels ; à objectiver si nécessaire.</w:t>
            </w:r>
          </w:p>
        </w:tc>
      </w:tr>
      <w:tr>
        <w:trPr>
          <w:cantSplit/>
        </w:trPr>
        <w:tc>
          <w:tcPr>
            <w:tcW w:type="dxa" w:w="5156"/>
            <w:tcMar>
              <w:top w:w="80" w:type="dxa"/>
              <w:start w:w="90" w:type="dxa"/>
              <w:bottom w:w="80" w:type="dxa"/>
              <w:end w:w="90" w:type="dxa"/>
            </w:tcMar>
          </w:tcPr>
          <w:p>
            <w:r>
              <w:t>Témoignage</w:t>
            </w:r>
          </w:p>
        </w:tc>
        <w:tc>
          <w:tcPr>
            <w:tcW w:type="dxa" w:w="5156"/>
            <w:tcMar>
              <w:top w:w="80" w:type="dxa"/>
              <w:start w:w="90" w:type="dxa"/>
              <w:bottom w:w="80" w:type="dxa"/>
              <w:end w:w="90" w:type="dxa"/>
            </w:tcMar>
          </w:tcPr>
          <w:p>
            <w:r>
              <w:t>Récit individuel ou collectif sur un événement ; il doit être documenté et, pour les faits graves, transmis aux autorités compétentes.</w:t>
            </w:r>
          </w:p>
        </w:tc>
      </w:tr>
      <w:tr>
        <w:trPr>
          <w:cantSplit/>
        </w:trPr>
        <w:tc>
          <w:tcPr>
            <w:tcW w:type="dxa" w:w="5156"/>
            <w:tcMar>
              <w:top w:w="80" w:type="dxa"/>
              <w:start w:w="90" w:type="dxa"/>
              <w:bottom w:w="80" w:type="dxa"/>
              <w:end w:w="90" w:type="dxa"/>
            </w:tcMar>
          </w:tcPr>
          <w:p>
            <w:r>
              <w:t>Chiffre à vérifier</w:t>
            </w:r>
          </w:p>
        </w:tc>
        <w:tc>
          <w:tcPr>
            <w:tcW w:type="dxa" w:w="5156"/>
            <w:tcMar>
              <w:top w:w="80" w:type="dxa"/>
              <w:start w:w="90" w:type="dxa"/>
              <w:bottom w:w="80" w:type="dxa"/>
              <w:end w:w="90" w:type="dxa"/>
            </w:tcMar>
          </w:tcPr>
          <w:p>
            <w:r>
              <w:t>Nombre avancé en AG ou dans une source non administrative ; il ne devient pas une donnée officielle tant qu’il n’est pas confirmé.</w:t>
            </w:r>
          </w:p>
        </w:tc>
      </w:tr>
      <w:tr>
        <w:trPr>
          <w:cantSplit/>
        </w:trPr>
        <w:tc>
          <w:tcPr>
            <w:tcW w:type="dxa" w:w="5156"/>
            <w:tcMar>
              <w:top w:w="80" w:type="dxa"/>
              <w:start w:w="90" w:type="dxa"/>
              <w:bottom w:w="80" w:type="dxa"/>
              <w:end w:w="90" w:type="dxa"/>
            </w:tcMar>
          </w:tcPr>
          <w:p>
            <w:r>
              <w:t>Revendication</w:t>
            </w:r>
          </w:p>
        </w:tc>
        <w:tc>
          <w:tcPr>
            <w:tcW w:type="dxa" w:w="5156"/>
            <w:tcMar>
              <w:top w:w="80" w:type="dxa"/>
              <w:start w:w="90" w:type="dxa"/>
              <w:bottom w:w="80" w:type="dxa"/>
              <w:end w:w="90" w:type="dxa"/>
            </w:tcMar>
          </w:tcPr>
          <w:p>
            <w:r>
              <w:t>Demande formulée par le collectif ; sa publication ne signifie ni validation du constat ni acceptation de la mesure.</w:t>
            </w:r>
          </w:p>
        </w:tc>
      </w:tr>
    </w:tbl>
    <w:p>
      <w:r>
        <w:rPr>
          <w:b/>
        </w:rPr>
        <w:t>Règle spécifique : les témoignages de l’AG relatifs aux interventions des forces de l’ordre ne sont jamais présentés comme des faits judiciairement ou administrativement établis.</w:t>
      </w:r>
    </w:p>
    <w:p>
      <w:pPr>
        <w:pStyle w:val="Heading1"/>
      </w:pPr>
      <w:r>
        <w:t>2. Ce qui change après l’AG du 8 octobre</w:t>
      </w:r>
    </w:p>
    <w:p>
      <w:r>
        <w:t>L’Assemblée générale officielle des élèves s’est tenue de 11 h à 12 h. Les nouvelles remontées ont été comparées aux 150 fiches déjà existantes : 13 fiches réellement nouvelles ont été ajoutées ; les autres sujets ont été fusionnés ou renforcés afin d’éviter les doublons. Le répertoire public compte désormais 163 fiches.</w:t>
      </w:r>
    </w:p>
    <w:p>
      <w:pPr>
        <w:ind w:left="255" w:hanging="142"/>
      </w:pPr>
      <w:r>
        <w:rPr>
          <w:b/>
          <w:color w:val="B84F32"/>
        </w:rPr>
        <w:t xml:space="preserve">• </w:t>
      </w:r>
      <w:r>
        <w:t>Santé scolaire : solution transitoire et durable pour l’infirmerie, protocole de malaise/urgence et accès aux services médico-sociaux.</w:t>
      </w:r>
    </w:p>
    <w:p>
      <w:pPr>
        <w:ind w:left="255" w:hanging="142"/>
      </w:pPr>
      <w:r>
        <w:rPr>
          <w:b/>
          <w:color w:val="B84F32"/>
        </w:rPr>
        <w:t xml:space="preserve">• </w:t>
      </w:r>
      <w:r>
        <w:t>Effectifs : communiquer les chiffres officiels par classe et préciser la méthode employée pour toute notion de capacité ou de sureffectif.</w:t>
      </w:r>
    </w:p>
    <w:p>
      <w:pPr>
        <w:ind w:left="255" w:hanging="142"/>
      </w:pPr>
      <w:r>
        <w:rPr>
          <w:b/>
          <w:color w:val="B84F32"/>
        </w:rPr>
        <w:t xml:space="preserve">• </w:t>
      </w:r>
      <w:r>
        <w:t>Enseignants : état des postes/absences/remplacements, priorité aux enseignements obligatoires ou à fort coefficient, continuité et rattrapage soutenable.</w:t>
      </w:r>
    </w:p>
    <w:p>
      <w:pPr>
        <w:ind w:left="255" w:hanging="142"/>
      </w:pPr>
      <w:r>
        <w:rPr>
          <w:b/>
          <w:color w:val="B84F32"/>
        </w:rPr>
        <w:t xml:space="preserve">• </w:t>
      </w:r>
      <w:r>
        <w:t>Organisation pédagogique : groupes de spécialité, option européenne et accès direct à un interlocuteur de l’Éducation nationale.</w:t>
      </w:r>
    </w:p>
    <w:p>
      <w:pPr>
        <w:ind w:left="255" w:hanging="142"/>
      </w:pPr>
      <w:r>
        <w:rPr>
          <w:b/>
          <w:color w:val="B84F32"/>
        </w:rPr>
        <w:t xml:space="preserve">• </w:t>
      </w:r>
      <w:r>
        <w:t>Bâti : relayer à la Région les problèmes ayant un impact sur les enseignements sans présenter la DSDEN comme compétente pour les travaux.</w:t>
      </w:r>
    </w:p>
    <w:p>
      <w:pPr>
        <w:pStyle w:val="Heading1"/>
      </w:pPr>
      <w:r>
        <w:t>3. Sécurité et mobilisations : témoignages à documenter</w:t>
      </w:r>
    </w:p>
    <w:p>
      <w:r>
        <w:rPr>
          <w:b/>
        </w:rPr>
        <w:t xml:space="preserve">Statut : </w:t>
      </w:r>
      <w:r>
        <w:t xml:space="preserve">témoignages recueillis en AG, non présentés comme des faits établis. </w:t>
      </w:r>
      <w:r>
        <w:t>Plusieurs élèves ont rapporté l’usage de gaz lacrymogène, des interventions avec chevaux, des blessures, des insultes ou intimidations, notamment envers des personnes filmant. Le collectif demande que ces récits puissent être recueillis officiellement, accompagnés de pièces lorsque les personnes concernées le souhaitent, et examinés par l’autorité compétente.</w:t>
      </w:r>
    </w:p>
    <w:p>
      <w:pPr>
        <w:ind w:left="227"/>
      </w:pPr>
      <w:r>
        <w:rPr>
          <w:b/>
        </w:rPr>
        <w:t>Rôle demandé à la DSDEN / au rectorat : si ces faits ne relèvent pas de leurs compétences, indiquer clairement vers quelle autorité les élèves concernés doivent être orientés et veiller à ce que le climat scolaire reste apaisé.</w:t>
      </w:r>
    </w:p>
    <w:tbl>
      <w:tblPr>
        <w:tblStyle w:val="TableGrid"/>
        <w:tblW w:type="auto" w:w="0"/>
        <w:jc w:val="center"/>
        <w:tblLook w:firstColumn="1" w:firstRow="1" w:lastColumn="0" w:lastRow="0" w:noHBand="0" w:noVBand="1" w:val="04A0"/>
      </w:tblPr>
      <w:tblGrid>
        <w:gridCol w:w="5156"/>
        <w:gridCol w:w="5156"/>
      </w:tblGrid>
      <w:tr>
        <w:trPr>
          <w:cantSplit/>
        </w:trPr>
        <w:tc>
          <w:tcPr>
            <w:tcW w:type="dxa" w:w="5156"/>
            <w:shd w:fill="16342D"/>
          </w:tcPr>
          <w:p>
            <w:r>
              <w:rPr>
                <w:color w:val="FFFFFF"/>
              </w:rPr>
              <w:t>Demande</w:t>
            </w:r>
          </w:p>
        </w:tc>
        <w:tc>
          <w:tcPr>
            <w:tcW w:type="dxa" w:w="5156"/>
            <w:shd w:fill="16342D"/>
          </w:tcPr>
          <w:p>
            <w:r>
              <w:rPr>
                <w:color w:val="FFFFFF"/>
              </w:rPr>
              <w:t>Formulation retenue</w:t>
            </w:r>
          </w:p>
        </w:tc>
      </w:tr>
      <w:tr>
        <w:trPr>
          <w:cantSplit/>
        </w:trPr>
        <w:tc>
          <w:tcPr>
            <w:tcW w:type="dxa" w:w="5156"/>
            <w:tcMar>
              <w:top w:w="80" w:type="dxa"/>
              <w:start w:w="90" w:type="dxa"/>
              <w:bottom w:w="80" w:type="dxa"/>
              <w:end w:w="90" w:type="dxa"/>
            </w:tcMar>
          </w:tcPr>
          <w:p>
            <w:r>
              <w:t>Enquête / réponses officielles</w:t>
            </w:r>
          </w:p>
        </w:tc>
        <w:tc>
          <w:tcPr>
            <w:tcW w:type="dxa" w:w="5156"/>
            <w:tcMar>
              <w:top w:w="80" w:type="dxa"/>
              <w:start w:w="90" w:type="dxa"/>
              <w:bottom w:w="80" w:type="dxa"/>
              <w:end w:w="90" w:type="dxa"/>
            </w:tcMar>
          </w:tcPr>
          <w:p>
            <w:r>
              <w:t>Examiner les témoignages documentés et préciser les voies de signalement et les suites possibles.</w:t>
            </w:r>
          </w:p>
        </w:tc>
      </w:tr>
      <w:tr>
        <w:trPr>
          <w:cantSplit/>
        </w:trPr>
        <w:tc>
          <w:tcPr>
            <w:tcW w:type="dxa" w:w="5156"/>
            <w:tcMar>
              <w:top w:w="80" w:type="dxa"/>
              <w:start w:w="90" w:type="dxa"/>
              <w:bottom w:w="80" w:type="dxa"/>
              <w:end w:w="90" w:type="dxa"/>
            </w:tcMar>
          </w:tcPr>
          <w:p>
            <w:r>
              <w:t>Victimes / témoins</w:t>
            </w:r>
          </w:p>
        </w:tc>
        <w:tc>
          <w:tcPr>
            <w:tcW w:type="dxa" w:w="5156"/>
            <w:tcMar>
              <w:top w:w="80" w:type="dxa"/>
              <w:start w:w="90" w:type="dxa"/>
              <w:bottom w:w="80" w:type="dxa"/>
              <w:end w:w="90" w:type="dxa"/>
            </w:tcMar>
          </w:tcPr>
          <w:p>
            <w:r>
              <w:t>Donner un canal clair pour transmettre récits datés, photos ou vidéos sans publier de données personnelles.</w:t>
            </w:r>
          </w:p>
        </w:tc>
      </w:tr>
      <w:tr>
        <w:trPr>
          <w:cantSplit/>
        </w:trPr>
        <w:tc>
          <w:tcPr>
            <w:tcW w:type="dxa" w:w="5156"/>
            <w:tcMar>
              <w:top w:w="80" w:type="dxa"/>
              <w:start w:w="90" w:type="dxa"/>
              <w:bottom w:w="80" w:type="dxa"/>
              <w:end w:w="90" w:type="dxa"/>
            </w:tcMar>
          </w:tcPr>
          <w:p>
            <w:r>
              <w:t>Captation d’images</w:t>
            </w:r>
          </w:p>
        </w:tc>
        <w:tc>
          <w:tcPr>
            <w:tcW w:type="dxa" w:w="5156"/>
            <w:tcMar>
              <w:top w:w="80" w:type="dxa"/>
              <w:start w:w="90" w:type="dxa"/>
              <w:bottom w:w="80" w:type="dxa"/>
              <w:end w:w="90" w:type="dxa"/>
            </w:tcMar>
          </w:tcPr>
          <w:p>
            <w:r>
              <w:t>Fournir une information écrite sur le cadre légal, ses limites et les voies de recours en cas de contestation.</w:t>
            </w:r>
          </w:p>
        </w:tc>
      </w:tr>
      <w:tr>
        <w:trPr>
          <w:cantSplit/>
        </w:trPr>
        <w:tc>
          <w:tcPr>
            <w:tcW w:type="dxa" w:w="5156"/>
            <w:tcMar>
              <w:top w:w="80" w:type="dxa"/>
              <w:start w:w="90" w:type="dxa"/>
              <w:bottom w:w="80" w:type="dxa"/>
              <w:end w:w="90" w:type="dxa"/>
            </w:tcMar>
          </w:tcPr>
          <w:p>
            <w:r>
              <w:t>Prévention / apaisement</w:t>
            </w:r>
          </w:p>
        </w:tc>
        <w:tc>
          <w:tcPr>
            <w:tcW w:type="dxa" w:w="5156"/>
            <w:tcMar>
              <w:top w:w="80" w:type="dxa"/>
              <w:start w:w="90" w:type="dxa"/>
              <w:bottom w:w="80" w:type="dxa"/>
              <w:end w:w="90" w:type="dxa"/>
            </w:tcMar>
          </w:tcPr>
          <w:p>
            <w:r>
              <w:t>Mettre en place des interlocuteurs et modalités de désescalade avant de nouveaux rassemblements.</w:t>
            </w:r>
          </w:p>
        </w:tc>
      </w:tr>
    </w:tbl>
    <w:p>
      <w:pPr>
        <w:pStyle w:val="Heading1"/>
      </w:pPr>
      <w:r>
        <w:t>4. Compte rendu attendu de l’audience du 8 octobre</w:t>
      </w:r>
    </w:p>
    <w:tbl>
      <w:tblPr>
        <w:tblStyle w:val="TableGrid"/>
        <w:tblW w:type="auto" w:w="0"/>
        <w:jc w:val="center"/>
        <w:tblLook w:firstColumn="1" w:firstRow="1" w:lastColumn="0" w:lastRow="0" w:noHBand="0" w:noVBand="1" w:val="04A0"/>
      </w:tblPr>
      <w:tblGrid>
        <w:gridCol w:w="10312"/>
      </w:tblGrid>
      <w:tr>
        <w:trPr>
          <w:cantSplit/>
        </w:trPr>
        <w:tc>
          <w:tcPr>
            <w:tcW w:type="dxa" w:w="10312"/>
            <w:shd w:fill="DDE5F3"/>
            <w:tcMar>
              <w:top w:w="160" w:type="dxa"/>
              <w:start w:w="190" w:type="dxa"/>
              <w:bottom w:w="160" w:type="dxa"/>
              <w:end w:w="190" w:type="dxa"/>
            </w:tcMar>
          </w:tcPr>
          <w:p>
            <w:r>
              <w:rPr>
                <w:b/>
                <w:color w:val="B84F32"/>
              </w:rPr>
              <w:t xml:space="preserve">• </w:t>
            </w:r>
            <w:r>
              <w:t>Le collectif a demandé le compte rendu, relevé de conclusions ou, à défaut, une réponse écrite listant les sujets pris en charge, les transmissions, les interlocuteurs et les échéances.</w:t>
            </w:r>
          </w:p>
          <w:p>
            <w:r>
              <w:rPr>
                <w:b/>
                <w:color w:val="B84F32"/>
              </w:rPr>
              <w:t xml:space="preserve">• </w:t>
            </w:r>
            <w:r>
              <w:t>Aucune mesure n’est marquée comme acquise dans ce dossier tant qu’elle n’est pas confirmée par écrit ou vérifiée dans les faits.</w:t>
            </w:r>
          </w:p>
        </w:tc>
      </w:tr>
    </w:tbl>
    <w:p>
      <w:pPr>
        <w:pStyle w:val="Heading1"/>
      </w:pPr>
      <w:r>
        <w:t>5. Tableau complet des demandes relevant directement ou conjointement de la DSDEN / du rectorat</w:t>
      </w:r>
    </w:p>
    <w:p>
      <w:r>
        <w:t>31 fiches du répertoire public concernent directement ou conjointement cette institution. Les doublons interinstitutionnels sont assumés lorsqu’ils correspondent à des rôles différents.</w:t>
      </w:r>
    </w:p>
    <w:p>
      <w:pPr>
        <w:pStyle w:val="Heading2"/>
      </w:pPr>
      <w:r>
        <w:t>Sécurité / mobilisation</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152</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Signalement officiel des victimes et témoins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Mettre à disposition une procédure claire permettant aux élèves victimes ou témoins de transmettre un récit daté, des pièces utiles et leurs coordonnées à l’autorité compétente, avec information sur les suites et dispositifs d’accompagnement.</w:t>
              <w:br/>
              <w:t>Délai : Procédure et interlocuteurs sous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élèves indiquent disposer de témoignages, photographies ou vidéos concernant les mobilisations. Aucun contenu individuel sensible n’est publié sur le site.</w:t>
              <w:br/>
              <w:t>Statut : Demande active au 9 octobre 2026 — réponse, vérification ou orientation officielle attendue.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154</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Prévention et apaisement lors des prochaines mobilisations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Préparer, avec les interlocuteurs compétents, un cadre de prévention et de désescalade : contacts identifiés, règles comprises, protection des personnes, accès aux secours et modalités de dialogue avant et pendant les rassemblements.</w:t>
              <w:br/>
              <w:t>Délai : Avant toute nouvelle mobilisation importante.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L’AG a fait apparaître une forte colère après les incidents rapportés. Les représentants ayant rédigé le compte rendu défendent une mobilisation pacifique et demandent des mesures pour éviter toute nouvelle escalade.</w:t>
              <w:br/>
              <w:t>Statut : Demande active au 9 octobre 2026 — réponse, vérification ou orientation officielle attendue.</w:t>
            </w:r>
          </w:p>
        </w:tc>
      </w:tr>
    </w:tbl>
    <w:p/>
    <w:p>
      <w:pPr>
        <w:pStyle w:val="Heading2"/>
      </w:pPr>
      <w:r>
        <w:t>Cours et moyens humains</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81</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Enseignants - postes vacants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Confirmer la situation officielle actuelle, les disciplines, les recrutements et le calendrier de couverture.</w:t>
              <w:br/>
              <w:t>Délai :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 SNES-FSU 93 a signalé 2 postes non pourvus à la rentrée ; disciplines à confirmer.</w:t>
              <w:br/>
              <w:t>AG 8 oct. : L’AG a signalé une matière professionnelle à fort coefficient qui ne serait pas assurée depuis la rentrée ; la DSDEN est invitée à confirmer la discipline et le statut du besoin.</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82</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Remplacements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Fournir l’état administratif des besoins ouverts, dates de début, remplacement prévu ou mesure de continuité, avec une attention prioritaire aux matières obligatoires ou à fort coefficient.</w:t>
              <w:br/>
              <w:t>Délai :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absences et besoins de remplacement sont signalés ; pas de décompte consolidé par le collectif.</w:t>
              <w:br/>
              <w:t>AG 8 oct. : Une situation de ce type a été rapportée en AG et doit être vérifiée administrativement.</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83</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Continuité pédagogique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Préciser le dispositif de suivi et les mesures transitoires lorsque le remplacement tarde ; prévoir, après une absence prolongée, un rattrapage soutenable et compatible avec les conditions d’apprentissage.</w:t>
              <w:br/>
              <w:t>Délai :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Les élèves doivent savoir comment les heures non assurées sont suivies.</w:t>
              <w:br/>
              <w:t>AG 8 oct. : L’AG a évoqué des rattrapages très concentrés après une absence prolongée l’année précédente ; cet historique doit être objectivé.</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84</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Effectif officiel</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Communiquer l’effectif officiel au 8 octobre, la répartition par niveau/filière/classe et, si une capacité de référence est utilisée, sa définition et sa valeur.</w:t>
              <w:br/>
              <w:t>Délai :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L’enquête SNES-FSU 93 mentionne 1 079 élèves ; chiffre à confronter à l’administration.</w:t>
              <w:br/>
              <w:t>AG 8 oct. : L’AG a avancé environ 1 172 élèves pour une capacité d’environ 972 ; ces chiffres sont explicitement à vérifier et ne sont pas présentés comme officiels.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85</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Classes chargées / surnombre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Comparer les effectifs réels aux données académiques, identifier les classes les plus chargées et examiner les marges d’ajustement réalistes, y compris l’ouverture de divisions si elle est justifiée.</w:t>
              <w:br/>
              <w:t>Délai :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Enquête SNES-FSU 93 : environ 200 élèves considérés en surnombre et 9 classes estimées manquantes.</w:t>
              <w:br/>
              <w:t>AG 8 oct. : Des classes à environ 37 élèves ont été évoquées en AG. L’estimation de 9 classes supplémentaires reste à vérifier.</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86</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DHG</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Communiquer la DHG officielle, la méthode d’allocation et les marges d’ajustement possibles sans reprendre l’estimation syndicale comme donnée officielle.</w:t>
              <w:br/>
              <w:t>Délai :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SNES-FSU 93 estime environ 270 h supplémentaires nécessaires pour viser des classes à 20.</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87</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CPE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Confirmer dotation théorique, effectif pourvu, charge de suivi et possibilité d’un renfort si le besoin est reconnu.</w:t>
              <w:br/>
              <w:t>Délai :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SNES-FSU 93 : 3 CPE, besoin estimé d’un poste supplémentaire.</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88</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AED / vie scolaire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Confirmer dotation, postes pourvus, vacances, organisation et possibilités de renfort.</w:t>
              <w:br/>
              <w:t>Délai :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SNES-FSU 93 : 5 ETP AED, besoin estimé de 5 ETP supplémentaires.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89</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Personnels administratifs de l’État</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Communiquer les effectifs théoriques et pourvus relevant de l’État et les vacances éventuelles.</w:t>
              <w:br/>
              <w:t>Délai :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Besoins de fonctionnement à objectiver.</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156</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Groupes de spécialité : stabilité et information</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Limiter les changements répétés de groupes de spécialité, expliquer les contraintes lorsqu’un changement est nécessaire et informer les élèves suffisamment en amont afin d’éviter les ruptures d’organisation.</w:t>
              <w:br/>
              <w:t>Délai : Bilan et procédure sous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élèves ont indiqué en AG avoir changé plusieurs fois de groupe de spécialité sans toujours comprendre la raison ou être informés assez tôt. Le nombre de changements doit être objectivé.</w:t>
              <w:br/>
              <w:t>Statut : Demande active au 9 octobre 2026 — réponse, vérification ou orientation officielle attendue.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157</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Option européenne : conditions de préparation</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Vérifier que l’organisation, les compétences mobilisées et les volumes d’enseignement permettent aux élèves de préparer effectivement l’épreuve finale de la section européenne ; identifier rapidement toute difficulté et la solution adaptée.</w:t>
              <w:br/>
              <w:t>Délai : Diagnostic sous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élèves ont exprimé en AG une inquiétude sur les conditions de préparation de l’option européenne. Le site ne porte pas d’appréciation personnelle sur un enseignant et demande une vérification pédagogique objective.</w:t>
              <w:br/>
              <w:t>Statut : Demande active au 9 octobre 2026 — réponse, vérification ou orientation officielle attendue.</w:t>
            </w:r>
          </w:p>
        </w:tc>
      </w:tr>
    </w:tbl>
    <w:p/>
    <w:p>
      <w:pPr>
        <w:pStyle w:val="Heading2"/>
      </w:pPr>
      <w:r>
        <w:t>Dialogue et suivi</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103</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Climat scolaire / harcèlement / cyberharcèlement</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Rappeler les dispositifs de signalement, médiation et traitement, ainsi que l’articulation avec l’établissement et les services départementaux.</w:t>
              <w:br/>
              <w:t>Délai :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Les élèves doivent pouvoir signaler des intimidations ou menaces dans un cadre protecteur.</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104</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Dialogue lycéen</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Indiquer les interlocuteurs académiques de la vie lycéenne et prévoir, lorsque cela est possible, un temps d’écoute direct permettant aux élèves d’exposer des problèmes collectifs ou individuels relevant de l’Éducation nationale.</w:t>
              <w:br/>
              <w:t>Délai :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 mobilisation doit déboucher sur un dialogue durable.</w:t>
              <w:br/>
              <w:t>AG 8 oct. : L’AG a demandé que des représentants de l’Éducation nationale puissent entendre directement certaines difficultés.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155</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Temps d’écoute direct avec l’Éducation nationale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Prévoir un interlocuteur ou un temps d’échange direct permettant aux élèves de présenter des difficultés collectives et, lorsque le cadre s’y prête, d’être orientés pour des situations individuelles relevant de l’Éducation nationale.</w:t>
              <w:br/>
              <w:t>Délai : Modalités proposées sous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élèves ont demandé en AG que des représentants de l’Éducation nationale puissent venir entendre directement certaines difficultés, en complément des échanges avec la direction.</w:t>
              <w:br/>
              <w:t>Statut : Demande active au 9 octobre 2026 — réponse, vérification ou orientation officielle attendue.</w:t>
            </w:r>
          </w:p>
        </w:tc>
      </w:tr>
    </w:tbl>
    <w:p/>
    <w:p>
      <w:pPr>
        <w:pStyle w:val="Heading2"/>
      </w:pPr>
      <w:r>
        <w:t>Locaux et accessibilité</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105</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Bâti affectant l’enseignement</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Préciser comment la DSDEN/rectorat peut signaler ou relayer auprès de la Région les difficultés ayant un impact direct sur les enseignements.</w:t>
              <w:br/>
              <w:t>Délai :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 bâti relève de la Région, mais certaines situations peuvent affecter l’organisation pédagogique.</w:t>
              <w:br/>
              <w:t>Statut : Demande active au 9 octobre 2026 — aucune réalisation n’est considérée comme acquise sans élément vérifiable.</w:t>
            </w:r>
          </w:p>
        </w:tc>
      </w:tr>
    </w:tbl>
    <w:p/>
    <w:p>
      <w:pPr>
        <w:pStyle w:val="Heading2"/>
      </w:pPr>
      <w:r>
        <w:t>Orientation</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93</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Conseillère/conseiller d’orientation (PsyEN EDO) / CIO</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Préciser la conseillère/le conseiller d’orientation (PsyEN EDO) et le CIO de secteur, son temps d’intervention dans le lycée, les créneaux individuels et la capacité d’accompagnement des Terminales.</w:t>
              <w:br/>
              <w:t>Délai :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Les élèves demandent un véritable accompagnement d’orientation et psychologique, pas seulement des informations générales.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94</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CIO</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Communiquer clairement le CIO de rattachement, les coordonnées, les créneaux et les modalités d’accès individuel.</w:t>
              <w:br/>
              <w:t>Délai : 7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 CIO doit pouvoir accueillir gratuitement et conseiller les lycéens.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98</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Orientation Terminale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Présenter les permanences, entretiens, ateliers, temps dédiés et dispositifs académiques disponibles.</w:t>
              <w:br/>
              <w:t>Délai :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Besoin d’accompagnement renforcé avant et pendant Parcoursup.</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99</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Parcoursup - donnée 43 %</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Confirmer ou infirmer avec une définition méthodologique : candidats, propositions à quelle date, acceptations, situations sans proposition.</w:t>
              <w:br/>
              <w:t>Délai :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Chiffre interne non vérifié.</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100</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Parcoursup - accompagnement</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Préciser accompagnement des élèves sans proposition, recours, CAES et articulation avec les services d’orientation.</w:t>
              <w:br/>
              <w:t>Délai :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Au-delà du chiffre, les élèves veulent des solutions concrètes.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101</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Égalité des chances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Identifier les dispositifs académiques, cordées, accompagnements ou moyens supplémentaires objectivement mobilisables.</w:t>
              <w:br/>
              <w:t>Délai : Année scolaire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Cumul de difficultés matérielles et humaines signalées dans un établissement de Seine-Saint-Denis.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106</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Revendications nationales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Consigner ces demandes et indiquer, lorsque pertinent, leur transmission au niveau académique ou ministériel.</w:t>
              <w:br/>
              <w:t>Délai : Suivi</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Certaines demandes, notamment une réforme de Parcoursup, ne relèvent pas du département.</w:t>
              <w:br/>
              <w:t>Statut : Demande active au 9 octobre 2026 — aucune réalisation n’est considérée comme acquise sans élément vérifiable.</w:t>
            </w:r>
          </w:p>
        </w:tc>
      </w:tr>
    </w:tbl>
    <w:p/>
    <w:p>
      <w:pPr>
        <w:pStyle w:val="Heading2"/>
      </w:pPr>
      <w:r>
        <w:t>Santé et inclusion</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90</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Infirmière scolaire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Confirmer la couverture, les permanences, une solution transitoire et un calendrier d’affectation durable ; préciser le protocole pour un élève malade ou victime d’un malaise.</w:t>
              <w:br/>
              <w:t>Délai : 7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Absence d’infirmière signalée par élèves et enquête syndicale.</w:t>
              <w:br/>
              <w:t>AG 8 oct. : L’absence d’infirmière et un malaise ayant nécessité un appel aux secours ont été rapportés lors de l’AG ; le malaise doit être vérifié par les éléments de l’établissement.</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91</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Médecin de l’Éducation nationale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Identifier le service couvrant Blaise- Cendrars, modalités de saisine et disponibilité réelle.</w:t>
              <w:br/>
              <w:t>Délai :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Médecin scolaire signalé comme insuffisamment accessible.</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92</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Santé mentale - protocole 2026</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Confirmer son existence/état de mise en œuvre à Blaise-Cendrars, les personnes ressources et la chaîne d’orientation vers les soins.</w:t>
              <w:br/>
              <w:t>Délai :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 cadre national prévoit dans chaque lycée un protocole « santé mentale : du repérage à la prise en charge ».</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95</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Assistant(e) de service social</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Préciser l’assistant(e) de service social chargé(e) du lycée, son temps de présence et les modalités de rendez- vous confidentiel.</w:t>
              <w:br/>
              <w:t>Délai :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Besoin d’écoute et d’accompagnement sur les difficultés sociales, familiales, économiques ou scolaires.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96</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Décrochage / persévérance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Préciser référent décrochage, GPDS, MLDS/FoQualE et modalités de saisine pour les élèves à risque.</w:t>
              <w:br/>
              <w:t>Délai :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Fatigue, difficultés d’orientation et risques de rupture doivent pouvoir être pris en charge.</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97</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Suivi individualisé</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Présenter les dispositifs mobilisables et la coordination entre CPE, professeur principal, PsyEN, service social et santé.</w:t>
              <w:br/>
              <w:t>Délai :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élèves demandent davantage de suivi lorsqu’ils cumulent difficultés scolaires, sociales ou d’orientation.</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102</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Inclusion / handicap</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Préciser les moyens AESH/coordination et les procédures en cas de rupture ou d’insuffisance d’accompagnement, sans divulguer de données individuelles.</w:t>
              <w:br/>
              <w:t>Délai :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 continuité d’accompagnement des élèves à besoins particuliers doit être garantie.</w:t>
              <w:br/>
              <w:t>Statut : Demande active au 9 octobre 2026 — aucune réalisation n’est considérée comme acquise sans élément vérifiable.</w:t>
            </w:r>
          </w:p>
        </w:tc>
      </w:tr>
    </w:tbl>
    <w:p/>
    <w:p>
      <w:r>
        <w:br w:type="page"/>
      </w:r>
    </w:p>
    <w:p>
      <w:pPr>
        <w:pStyle w:val="Heading1"/>
      </w:pPr>
      <w:r>
        <w:t>Sources et pièces de référence</w:t>
      </w:r>
    </w:p>
    <w:p>
      <w:pPr>
        <w:ind w:left="227" w:hanging="142"/>
      </w:pPr>
      <w:r>
        <w:rPr>
          <w:b/>
        </w:rPr>
        <w:t xml:space="preserve">• </w:t>
      </w:r>
      <w:r>
        <w:t>Dossiers institutionnels du collectif datés du 7 octobre 2026, conservés en archive dans le paquet du site.</w:t>
      </w:r>
    </w:p>
    <w:p>
      <w:pPr>
        <w:ind w:left="227" w:hanging="142"/>
      </w:pPr>
      <w:r>
        <w:rPr>
          <w:b/>
        </w:rPr>
        <w:t xml:space="preserve">• </w:t>
      </w:r>
      <w:r>
        <w:t>Compte rendu interne de l’Assemblée générale des élèves du 8 octobre 2026.</w:t>
      </w:r>
    </w:p>
    <w:p>
      <w:pPr>
        <w:ind w:left="227" w:hanging="142"/>
      </w:pPr>
      <w:r>
        <w:rPr>
          <w:b/>
        </w:rPr>
        <w:t xml:space="preserve">• </w:t>
      </w:r>
      <w:r>
        <w:t>Courriels et messages institutionnels conservés par le collectif ; leur contenu n’est présenté comme engagement que lorsqu’il est explicite.</w:t>
      </w:r>
    </w:p>
    <w:p>
      <w:pPr>
        <w:ind w:left="227" w:hanging="142"/>
      </w:pPr>
      <w:r>
        <w:rPr>
          <w:b/>
        </w:rPr>
        <w:t xml:space="preserve">• </w:t>
      </w:r>
      <w:r>
        <w:t>Répertoire public des revendications mis à jour le 9 octobre 2026 (163 fiches).</w:t>
      </w:r>
    </w:p>
    <w:p>
      <w:pPr>
        <w:ind w:left="227" w:hanging="142"/>
      </w:pPr>
      <w:r>
        <w:rPr>
          <w:b/>
        </w:rPr>
        <w:t xml:space="preserve">• </w:t>
      </w:r>
      <w:r>
        <w:t>Audience du 8 octobre 2026 à 13 h 30 à la DSDEN 93 ; compte rendu/relevé de conclusions demandé après la rencontre et toujours attendu au moment de cette version.</w:t>
      </w:r>
    </w:p>
    <w:p>
      <w:pPr>
        <w:spacing w:before="240"/>
      </w:pPr>
      <w:r>
        <w:rPr>
          <w:b/>
          <w:color w:val="B84F32"/>
        </w:rPr>
        <w:t>Document non officiel du collectif d’élèves mobilisés.</w:t>
      </w:r>
      <w:r>
        <w:t xml:space="preserve"> Il vise à rendre les demandes traçables et à éviter la confusion entre revendication, témoignage, réponse reçue et réalisation vérifiée.</w:t>
      </w:r>
    </w:p>
    <w:sectPr w:rsidR="00FC693F" w:rsidRPr="0006063C" w:rsidSect="00034616">
      <w:headerReference w:type="default" r:id="rId9"/>
      <w:footerReference w:type="default" r:id="rId10"/>
      <w:pgSz w:w="12240" w:h="15840"/>
      <w:pgMar w:top="964" w:right="964" w:bottom="907" w:left="96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3685C"/>
        <w:sz w:val="14"/>
      </w:rPr>
      <w:t xml:space="preserve">Collectif d’élèves mobilisés — document non officiel  •  </w:t>
    </w:r>
    <w:r>
      <w:t xml:space="preserve">Page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b/>
        <w:color w:val="53685C"/>
        <w:sz w:val="14"/>
      </w:rPr>
      <w:t>LYCÉE BLAISE-CENDRARS — SEVRAN  |  DSDEN 93 / RECTORAT  |  9 OCTOBRE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Liberation Sans" w:hAnsi="Liberation Sans"/>
      <w:color w:val="16342D"/>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Liberation Sans" w:hAnsi="Liberation Sans"/>
      <w:b/>
      <w:bCs/>
      <w:color w:val="16342D"/>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Liberation Sans" w:hAnsi="Liberation Sans"/>
      <w:b/>
      <w:bCs/>
      <w:color w:val="16342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iberation Sans" w:hAnsi="Liberation Sans"/>
      <w:b/>
      <w:bCs/>
      <w:color w:val="16342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b/>
      <w:color w:val="16342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